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65" w:rsidRDefault="005E18BC">
      <w:r>
        <w:t>Просим выполнить перевод с английского языка на русский язык</w:t>
      </w:r>
      <w:r w:rsidR="004233CA">
        <w:t xml:space="preserve"> для оценки владения языком и терминологией.</w:t>
      </w:r>
    </w:p>
    <w:p w:rsidR="004233CA" w:rsidRDefault="004233C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4233CA" w:rsidRPr="004233CA" w:rsidTr="004233CA">
        <w:tc>
          <w:tcPr>
            <w:tcW w:w="4669" w:type="dxa"/>
          </w:tcPr>
          <w:p w:rsidR="004233CA" w:rsidRPr="00AA0B9D" w:rsidRDefault="004233CA" w:rsidP="004233CA">
            <w:pPr>
              <w:rPr>
                <w:b/>
                <w:bCs/>
                <w:u w:val="single"/>
                <w:lang w:val="en-US"/>
              </w:rPr>
            </w:pPr>
            <w:r w:rsidRPr="004233CA">
              <w:rPr>
                <w:b/>
                <w:bCs/>
                <w:u w:val="single"/>
              </w:rPr>
              <w:t>Текст</w:t>
            </w:r>
            <w:r w:rsidRPr="00AA0B9D">
              <w:rPr>
                <w:b/>
                <w:bCs/>
                <w:u w:val="single"/>
                <w:lang w:val="en-US"/>
              </w:rPr>
              <w:t xml:space="preserve"> </w:t>
            </w:r>
            <w:r w:rsidRPr="004233CA">
              <w:rPr>
                <w:b/>
                <w:bCs/>
                <w:u w:val="single"/>
              </w:rPr>
              <w:t>на</w:t>
            </w:r>
            <w:r w:rsidRPr="00AA0B9D">
              <w:rPr>
                <w:b/>
                <w:bCs/>
                <w:u w:val="single"/>
                <w:lang w:val="en-US"/>
              </w:rPr>
              <w:t xml:space="preserve"> </w:t>
            </w:r>
            <w:r w:rsidRPr="004233CA">
              <w:rPr>
                <w:b/>
                <w:bCs/>
                <w:u w:val="single"/>
              </w:rPr>
              <w:t>английском</w:t>
            </w:r>
            <w:r w:rsidRPr="00AA0B9D">
              <w:rPr>
                <w:b/>
                <w:bCs/>
                <w:u w:val="single"/>
                <w:lang w:val="en-US"/>
              </w:rPr>
              <w:t xml:space="preserve"> </w:t>
            </w:r>
            <w:r w:rsidRPr="004233CA">
              <w:rPr>
                <w:b/>
                <w:bCs/>
                <w:u w:val="single"/>
              </w:rPr>
              <w:t>языке</w:t>
            </w:r>
          </w:p>
          <w:p w:rsidR="004233CA" w:rsidRPr="00AA0B9D" w:rsidRDefault="004233CA" w:rsidP="004233CA">
            <w:pPr>
              <w:rPr>
                <w:lang w:val="en-US"/>
              </w:rPr>
            </w:pPr>
          </w:p>
          <w:p w:rsidR="004233CA" w:rsidRPr="004233CA" w:rsidRDefault="004233CA" w:rsidP="004233CA">
            <w:pPr>
              <w:rPr>
                <w:lang w:val="en-US"/>
              </w:rPr>
            </w:pPr>
            <w:r w:rsidRPr="004233CA">
              <w:rPr>
                <w:lang w:val="en-US"/>
              </w:rPr>
              <w:t xml:space="preserve">Additional literature data </w:t>
            </w:r>
          </w:p>
          <w:p w:rsidR="004233CA" w:rsidRPr="004233CA" w:rsidRDefault="004233CA" w:rsidP="004233CA">
            <w:pPr>
              <w:rPr>
                <w:lang w:val="en-US"/>
              </w:rPr>
            </w:pPr>
            <w:proofErr w:type="spellStart"/>
            <w:r w:rsidRPr="004233CA">
              <w:rPr>
                <w:lang w:val="en-US"/>
              </w:rPr>
              <w:t>Tohyama</w:t>
            </w:r>
            <w:proofErr w:type="spellEnd"/>
            <w:r w:rsidRPr="004233CA">
              <w:rPr>
                <w:lang w:val="en-US"/>
              </w:rPr>
              <w:t xml:space="preserve">, et al. (2014) described the anti-proliferative activity of </w:t>
            </w:r>
            <w:proofErr w:type="spellStart"/>
            <w:r w:rsidRPr="004233CA">
              <w:rPr>
                <w:lang w:val="en-US"/>
              </w:rPr>
              <w:t>lenvatinib</w:t>
            </w:r>
            <w:proofErr w:type="spellEnd"/>
            <w:r w:rsidRPr="004233CA">
              <w:rPr>
                <w:lang w:val="en-US"/>
              </w:rPr>
              <w:t xml:space="preserve"> against 11 human thyroid cancer cell lines in vitro. Antiproliferative activity of </w:t>
            </w:r>
            <w:proofErr w:type="spellStart"/>
            <w:r w:rsidRPr="004233CA">
              <w:rPr>
                <w:lang w:val="en-US"/>
              </w:rPr>
              <w:t>lenvatinib</w:t>
            </w:r>
            <w:proofErr w:type="spellEnd"/>
            <w:r w:rsidRPr="004233CA">
              <w:rPr>
                <w:lang w:val="en-US"/>
              </w:rPr>
              <w:t xml:space="preserve"> was evaluated by using IC50 values and the ratios of the IC50 values of the thyroid cancer cell lines relative to that of </w:t>
            </w:r>
            <w:proofErr w:type="spellStart"/>
            <w:r w:rsidRPr="004233CA">
              <w:rPr>
                <w:lang w:val="en-US"/>
              </w:rPr>
              <w:t>Nthy-ori</w:t>
            </w:r>
            <w:proofErr w:type="spellEnd"/>
            <w:r w:rsidRPr="004233CA">
              <w:rPr>
                <w:lang w:val="en-US"/>
              </w:rPr>
              <w:t xml:space="preserve"> 3-1 cells. </w:t>
            </w:r>
            <w:proofErr w:type="spellStart"/>
            <w:r w:rsidRPr="004233CA">
              <w:rPr>
                <w:lang w:val="en-US"/>
              </w:rPr>
              <w:t>Lenvatinib</w:t>
            </w:r>
            <w:proofErr w:type="spellEnd"/>
            <w:r w:rsidRPr="004233CA">
              <w:rPr>
                <w:lang w:val="en-US"/>
              </w:rPr>
              <w:t xml:space="preserve"> did not show the potent in vitro antiproliferative activity for 9 out of the 11 cell lines with IC50 values being greater than 10 </w:t>
            </w:r>
            <w:r w:rsidRPr="004233CA">
              <w:rPr>
                <w:rFonts w:ascii="Cambria Math" w:hAnsi="Cambria Math" w:cs="Cambria Math"/>
                <w:lang w:val="en-US"/>
              </w:rPr>
              <w:t>𝜇𝜇</w:t>
            </w:r>
            <w:r w:rsidRPr="004233CA">
              <w:rPr>
                <w:lang w:val="en-US"/>
              </w:rPr>
              <w:t xml:space="preserve">M. </w:t>
            </w:r>
            <w:proofErr w:type="spellStart"/>
            <w:r w:rsidRPr="004233CA">
              <w:rPr>
                <w:lang w:val="en-US"/>
              </w:rPr>
              <w:t>Lenvatinib</w:t>
            </w:r>
            <w:proofErr w:type="spellEnd"/>
            <w:r w:rsidRPr="004233CA">
              <w:rPr>
                <w:lang w:val="en-US"/>
              </w:rPr>
              <w:t xml:space="preserve"> did, however, showed antiproliferative activity against the human DTC RO82-W-1 (= follicular TC cell line) and MTC TT cell lines (= medullary TC cell line), with IC50 values of 3.8 </w:t>
            </w:r>
            <w:proofErr w:type="spellStart"/>
            <w:r w:rsidRPr="004233CA">
              <w:rPr>
                <w:lang w:val="en-US"/>
              </w:rPr>
              <w:t>μM</w:t>
            </w:r>
            <w:proofErr w:type="spellEnd"/>
            <w:r w:rsidRPr="004233CA">
              <w:rPr>
                <w:lang w:val="en-US"/>
              </w:rPr>
              <w:t xml:space="preserve"> (1622 ng/ml) and 0.078 </w:t>
            </w:r>
            <w:proofErr w:type="spellStart"/>
            <w:r w:rsidRPr="004233CA">
              <w:rPr>
                <w:lang w:val="en-US"/>
              </w:rPr>
              <w:t>μM</w:t>
            </w:r>
            <w:proofErr w:type="spellEnd"/>
            <w:r w:rsidRPr="004233CA">
              <w:rPr>
                <w:lang w:val="en-US"/>
              </w:rPr>
              <w:t xml:space="preserve"> (33 ng/ml), respectively; moreover, it was selective against these two DTC cell lines compared with normal thyroid cells (</w:t>
            </w:r>
            <w:r w:rsidRPr="004233CA">
              <w:rPr>
                <w:rFonts w:ascii="Cambria Math" w:hAnsi="Cambria Math" w:cs="Cambria Math"/>
                <w:lang w:val="en-US"/>
              </w:rPr>
              <w:t>𝑇𝑇</w:t>
            </w:r>
            <w:r w:rsidRPr="004233CA">
              <w:rPr>
                <w:lang w:val="en-US"/>
              </w:rPr>
              <w:t>/</w:t>
            </w:r>
            <w:r w:rsidRPr="004233CA">
              <w:rPr>
                <w:rFonts w:ascii="Cambria Math" w:hAnsi="Cambria Math" w:cs="Cambria Math"/>
                <w:lang w:val="en-US"/>
              </w:rPr>
              <w:t>𝑁𝑁</w:t>
            </w:r>
            <w:r w:rsidRPr="004233CA">
              <w:rPr>
                <w:lang w:val="en-US"/>
              </w:rPr>
              <w:t xml:space="preserve"> = 0.25 and 0.01, resp.). The results suggested that RTK signaling pathways may have roles in oncogenic proliferation of these two human thyroid cancer cells lines. </w:t>
            </w:r>
          </w:p>
          <w:p w:rsidR="004233CA" w:rsidRPr="004233CA" w:rsidRDefault="004233CA" w:rsidP="004233CA">
            <w:pPr>
              <w:rPr>
                <w:lang w:val="en-US"/>
              </w:rPr>
            </w:pPr>
            <w:r w:rsidRPr="004233CA">
              <w:rPr>
                <w:lang w:val="en-US"/>
              </w:rPr>
              <w:t xml:space="preserve">Orally administered </w:t>
            </w:r>
            <w:proofErr w:type="spellStart"/>
            <w:r w:rsidRPr="004233CA">
              <w:rPr>
                <w:lang w:val="en-US"/>
              </w:rPr>
              <w:t>lenvatinib</w:t>
            </w:r>
            <w:proofErr w:type="spellEnd"/>
            <w:r w:rsidRPr="004233CA">
              <w:rPr>
                <w:lang w:val="en-US"/>
              </w:rPr>
              <w:t xml:space="preserve"> significantly inhibited </w:t>
            </w:r>
            <w:proofErr w:type="spellStart"/>
            <w:r w:rsidRPr="004233CA">
              <w:rPr>
                <w:lang w:val="en-US"/>
              </w:rPr>
              <w:t>tumour</w:t>
            </w:r>
            <w:proofErr w:type="spellEnd"/>
            <w:r w:rsidRPr="004233CA">
              <w:rPr>
                <w:lang w:val="en-US"/>
              </w:rPr>
              <w:t xml:space="preserve"> growth of 1 PTC (a major type of DTC), 4 FTC (another major type of DTC), 1 MTC, and 5 ATC xenografts in nude mice. </w:t>
            </w:r>
            <w:proofErr w:type="spellStart"/>
            <w:r w:rsidRPr="004233CA">
              <w:rPr>
                <w:lang w:val="en-US"/>
              </w:rPr>
              <w:t>Lenvatinib</w:t>
            </w:r>
            <w:proofErr w:type="spellEnd"/>
            <w:r w:rsidRPr="004233CA">
              <w:rPr>
                <w:lang w:val="en-US"/>
              </w:rPr>
              <w:t xml:space="preserve"> inhibited </w:t>
            </w:r>
            <w:proofErr w:type="spellStart"/>
            <w:r w:rsidRPr="004233CA">
              <w:rPr>
                <w:lang w:val="en-US"/>
              </w:rPr>
              <w:t>tumour</w:t>
            </w:r>
            <w:proofErr w:type="spellEnd"/>
            <w:r w:rsidRPr="004233CA">
              <w:rPr>
                <w:lang w:val="en-US"/>
              </w:rPr>
              <w:t xml:space="preserve"> angiogenesis in 5DTC and 5ATC xenograft models as evidenced by a decrease in MVD. </w:t>
            </w:r>
          </w:p>
          <w:p w:rsidR="004233CA" w:rsidRPr="004233CA" w:rsidRDefault="004233CA" w:rsidP="004233CA">
            <w:pPr>
              <w:rPr>
                <w:lang w:val="en-US"/>
              </w:rPr>
            </w:pPr>
            <w:r w:rsidRPr="004233CA">
              <w:rPr>
                <w:lang w:val="en-US"/>
              </w:rPr>
              <w:t xml:space="preserve">The results suggested the antitumor activity of </w:t>
            </w:r>
            <w:proofErr w:type="spellStart"/>
            <w:r w:rsidRPr="004233CA">
              <w:rPr>
                <w:lang w:val="en-US"/>
              </w:rPr>
              <w:t>lenvatinib</w:t>
            </w:r>
            <w:proofErr w:type="spellEnd"/>
            <w:r w:rsidRPr="004233CA">
              <w:rPr>
                <w:lang w:val="en-US"/>
              </w:rPr>
              <w:t xml:space="preserve"> against a broad panel of human thyroid cancer models can be primarily attributed to its anti-angiogenic effects. Okamoto, et al. (2013) evaluated the activity of </w:t>
            </w:r>
            <w:proofErr w:type="spellStart"/>
            <w:r w:rsidRPr="004233CA">
              <w:rPr>
                <w:lang w:val="en-US"/>
              </w:rPr>
              <w:t>lenvatinib</w:t>
            </w:r>
            <w:proofErr w:type="spellEnd"/>
            <w:r w:rsidRPr="004233CA">
              <w:rPr>
                <w:lang w:val="en-US"/>
              </w:rPr>
              <w:t xml:space="preserve"> in RET-gene fusion-driven in vitro assays. It was showed that </w:t>
            </w:r>
            <w:proofErr w:type="spellStart"/>
            <w:r w:rsidRPr="004233CA">
              <w:rPr>
                <w:lang w:val="en-US"/>
              </w:rPr>
              <w:t>lenvatinib</w:t>
            </w:r>
            <w:proofErr w:type="spellEnd"/>
            <w:r w:rsidRPr="004233CA">
              <w:rPr>
                <w:lang w:val="en-US"/>
              </w:rPr>
              <w:t xml:space="preserve"> suppressed the growth of papillary thyroid </w:t>
            </w:r>
            <w:r w:rsidRPr="004233CA">
              <w:rPr>
                <w:lang w:val="en-US"/>
              </w:rPr>
              <w:lastRenderedPageBreak/>
              <w:t xml:space="preserve">CCDC6-RET, KIF5B-RET and NcoA4-RET cancer cell lines (CCDC6-RET and NcoA4-RET account for more than 90% of the RET fusions in papillary thyroid carcinoma). </w:t>
            </w:r>
            <w:proofErr w:type="spellStart"/>
            <w:r w:rsidRPr="004233CA">
              <w:rPr>
                <w:lang w:val="en-US"/>
              </w:rPr>
              <w:t>Lenvatinib</w:t>
            </w:r>
            <w:proofErr w:type="spellEnd"/>
            <w:r w:rsidRPr="004233CA">
              <w:rPr>
                <w:lang w:val="en-US"/>
              </w:rPr>
              <w:t xml:space="preserve"> inhibited oncogenic RET signaling in vitro at concentrations in the 30-100 </w:t>
            </w:r>
            <w:proofErr w:type="spellStart"/>
            <w:r w:rsidRPr="004233CA">
              <w:rPr>
                <w:lang w:val="en-US"/>
              </w:rPr>
              <w:t>nM</w:t>
            </w:r>
            <w:proofErr w:type="spellEnd"/>
            <w:r w:rsidRPr="004233CA">
              <w:rPr>
                <w:lang w:val="en-US"/>
              </w:rPr>
              <w:t xml:space="preserve"> (15.69-52.30 ng/ml) range. The results suggest that </w:t>
            </w:r>
            <w:proofErr w:type="spellStart"/>
            <w:r w:rsidRPr="004233CA">
              <w:rPr>
                <w:lang w:val="en-US"/>
              </w:rPr>
              <w:t>lenvatinib</w:t>
            </w:r>
            <w:proofErr w:type="spellEnd"/>
            <w:r w:rsidRPr="004233CA">
              <w:rPr>
                <w:lang w:val="en-US"/>
              </w:rPr>
              <w:t xml:space="preserve"> can exert antitumor activity against RET gene fusion driven </w:t>
            </w:r>
            <w:proofErr w:type="spellStart"/>
            <w:r w:rsidRPr="004233CA">
              <w:rPr>
                <w:lang w:val="en-US"/>
              </w:rPr>
              <w:t>tumour</w:t>
            </w:r>
            <w:proofErr w:type="spellEnd"/>
            <w:r w:rsidRPr="004233CA">
              <w:rPr>
                <w:lang w:val="en-US"/>
              </w:rPr>
              <w:t xml:space="preserve"> models by </w:t>
            </w:r>
            <w:proofErr w:type="spellStart"/>
            <w:r w:rsidRPr="004233CA">
              <w:rPr>
                <w:lang w:val="en-US"/>
              </w:rPr>
              <w:t>inihibiting</w:t>
            </w:r>
            <w:proofErr w:type="spellEnd"/>
            <w:r w:rsidRPr="004233CA">
              <w:rPr>
                <w:lang w:val="en-US"/>
              </w:rPr>
              <w:t xml:space="preserve"> oncogenic RET fusion signaling and thus directly inhibit transformed cell growth. In addition, the results showed that </w:t>
            </w:r>
            <w:proofErr w:type="spellStart"/>
            <w:r w:rsidRPr="004233CA">
              <w:rPr>
                <w:lang w:val="en-US"/>
              </w:rPr>
              <w:t>lenvatinib</w:t>
            </w:r>
            <w:proofErr w:type="spellEnd"/>
            <w:r w:rsidRPr="004233CA">
              <w:rPr>
                <w:lang w:val="en-US"/>
              </w:rPr>
              <w:t xml:space="preserve"> can directly inhibit transformed cell growth at therapeutically relevant plasma exposures. </w:t>
            </w:r>
          </w:p>
          <w:p w:rsidR="004233CA" w:rsidRPr="00AA0B9D" w:rsidRDefault="004233CA" w:rsidP="004233CA">
            <w:pPr>
              <w:rPr>
                <w:lang w:val="en-US"/>
              </w:rPr>
            </w:pPr>
          </w:p>
        </w:tc>
        <w:tc>
          <w:tcPr>
            <w:tcW w:w="4670" w:type="dxa"/>
          </w:tcPr>
          <w:p w:rsidR="004233CA" w:rsidRPr="004233CA" w:rsidRDefault="004233CA" w:rsidP="004233CA">
            <w:pPr>
              <w:rPr>
                <w:b/>
                <w:bCs/>
                <w:u w:val="single"/>
              </w:rPr>
            </w:pPr>
            <w:r w:rsidRPr="004233CA">
              <w:rPr>
                <w:b/>
                <w:bCs/>
                <w:u w:val="single"/>
              </w:rPr>
              <w:lastRenderedPageBreak/>
              <w:t>Перевод на русский язык</w:t>
            </w:r>
          </w:p>
          <w:p w:rsidR="004233CA" w:rsidRDefault="004233CA" w:rsidP="004233CA"/>
          <w:p w:rsidR="004233CA" w:rsidRPr="004233CA" w:rsidRDefault="004233CA" w:rsidP="004233CA"/>
        </w:tc>
      </w:tr>
    </w:tbl>
    <w:p w:rsidR="004233CA" w:rsidRDefault="004233CA"/>
    <w:p w:rsidR="004233CA" w:rsidRDefault="004233CA"/>
    <w:p w:rsidR="004233CA" w:rsidRDefault="004233CA" w:rsidP="004233CA">
      <w:r>
        <w:t>Просим выполнить перевод русского языка на английский язык для оценки владения языком и терминологией.</w:t>
      </w:r>
    </w:p>
    <w:p w:rsidR="004233CA" w:rsidRDefault="004233CA" w:rsidP="004233C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4233CA" w:rsidRPr="00B06784" w:rsidTr="002354A5">
        <w:tc>
          <w:tcPr>
            <w:tcW w:w="4669" w:type="dxa"/>
          </w:tcPr>
          <w:p w:rsidR="004233CA" w:rsidRPr="00B06784" w:rsidRDefault="004233CA" w:rsidP="00B06784">
            <w:pPr>
              <w:rPr>
                <w:b/>
                <w:bCs/>
                <w:u w:val="single"/>
              </w:rPr>
            </w:pPr>
            <w:bookmarkStart w:id="0" w:name="_GoBack" w:colFirst="0" w:colLast="0"/>
            <w:r w:rsidRPr="00B06784">
              <w:rPr>
                <w:b/>
                <w:bCs/>
                <w:u w:val="single"/>
              </w:rPr>
              <w:t>Текст на русском языке</w:t>
            </w:r>
          </w:p>
          <w:p w:rsidR="004233CA" w:rsidRPr="00B06784" w:rsidRDefault="004233CA" w:rsidP="00B06784"/>
          <w:p w:rsidR="00B06784" w:rsidRPr="00B06784" w:rsidRDefault="00B06784" w:rsidP="00B06784">
            <w:r w:rsidRPr="00B06784">
              <w:t xml:space="preserve">Проанализирован опыт применения антикоагулянтов в Российской Федерации. Для уменьшения рисков тромбоэмболических осложнений (ТЭО), подбора адекватной </w:t>
            </w:r>
            <w:proofErr w:type="spellStart"/>
            <w:r w:rsidRPr="00B06784">
              <w:t>антитромботической</w:t>
            </w:r>
            <w:proofErr w:type="spellEnd"/>
            <w:r w:rsidRPr="00B06784">
              <w:t xml:space="preserve"> терапии (АТТ) требуется весь арсенал </w:t>
            </w:r>
            <w:proofErr w:type="spellStart"/>
            <w:r w:rsidRPr="00B06784">
              <w:t>антитромботических</w:t>
            </w:r>
            <w:proofErr w:type="spellEnd"/>
            <w:r w:rsidRPr="00B06784">
              <w:t xml:space="preserve"> средств - и новые оральные антикоагулянты (НОАК), и антагонисты витамина К (</w:t>
            </w:r>
            <w:proofErr w:type="spellStart"/>
            <w:r w:rsidRPr="00B06784">
              <w:t>варфарин</w:t>
            </w:r>
            <w:proofErr w:type="spellEnd"/>
            <w:r w:rsidRPr="00B06784">
              <w:t xml:space="preserve">). Внедрение </w:t>
            </w:r>
            <w:proofErr w:type="spellStart"/>
            <w:r w:rsidRPr="00B06784">
              <w:t>варфарина</w:t>
            </w:r>
            <w:proofErr w:type="spellEnd"/>
            <w:r w:rsidRPr="00B06784">
              <w:t xml:space="preserve"> и появление на российском рынке НОАК способствовало значительному улучшению качества медицинской помощи и улучшению результатов лечения таких больных. Активная информационная работа, внедрение антикоагулянтов в национальные клинические рекомендации и в клиническую практику, реализация государственной поддержки по системе дополнительного </w:t>
            </w:r>
            <w:r w:rsidRPr="00B06784">
              <w:lastRenderedPageBreak/>
              <w:t xml:space="preserve">лекарственного обеспечения (ДЛО) позволили существенно повысить частоту применения ОАК. Вместе с тем, частота применения антикоагулянтов несколько отличается в различных регионах. Наиболее широко применяется </w:t>
            </w:r>
            <w:proofErr w:type="spellStart"/>
            <w:r w:rsidRPr="00B06784">
              <w:t>варфарин</w:t>
            </w:r>
            <w:proofErr w:type="spellEnd"/>
            <w:r w:rsidRPr="00B06784">
              <w:t xml:space="preserve">, который имеет высокую ценовую доступность (от 44% до 72,5% среди всех антикоагулянтов). Частота кровотечений при лечении разными АК достоверно не различается, в среднем 2,8%. Достижение первого значения МНО≥2,0 на 3-5 сутки достоверно связано с развитием чрезмерной </w:t>
            </w:r>
            <w:proofErr w:type="spellStart"/>
            <w:r w:rsidRPr="00B06784">
              <w:t>гипокоагуляции</w:t>
            </w:r>
            <w:proofErr w:type="spellEnd"/>
            <w:r w:rsidRPr="00B06784">
              <w:t xml:space="preserve"> при подборе дозы </w:t>
            </w:r>
            <w:proofErr w:type="spellStart"/>
            <w:r w:rsidRPr="00B06784">
              <w:t>варфарина</w:t>
            </w:r>
            <w:proofErr w:type="spellEnd"/>
            <w:r w:rsidRPr="00B06784">
              <w:t xml:space="preserve">. Быстрые темпы достижения </w:t>
            </w:r>
            <w:proofErr w:type="spellStart"/>
            <w:r w:rsidRPr="00B06784">
              <w:t>антикоагулянтного</w:t>
            </w:r>
            <w:proofErr w:type="spellEnd"/>
            <w:r w:rsidRPr="00B06784">
              <w:t xml:space="preserve"> эффекта в подавляющем большинстве случаев связаны с определенным генотипом (CYP2C9*2/*2, *3/*3, 2/*3, А/А гена VKORC1, одновременным носительством СYP2С9 и VKORC1). Применение </w:t>
            </w:r>
            <w:proofErr w:type="spellStart"/>
            <w:r w:rsidRPr="00B06784">
              <w:t>фармакогенического</w:t>
            </w:r>
            <w:proofErr w:type="spellEnd"/>
            <w:r w:rsidRPr="00B06784">
              <w:t xml:space="preserve"> способа дозирования </w:t>
            </w:r>
            <w:proofErr w:type="spellStart"/>
            <w:r w:rsidRPr="00B06784">
              <w:t>варфарина</w:t>
            </w:r>
            <w:proofErr w:type="spellEnd"/>
            <w:r w:rsidRPr="00B06784">
              <w:t xml:space="preserve"> в клинической практике позволяет быстрее и эффективнее подобрать дозу </w:t>
            </w:r>
            <w:proofErr w:type="spellStart"/>
            <w:r w:rsidRPr="00B06784">
              <w:t>варфарина</w:t>
            </w:r>
            <w:proofErr w:type="spellEnd"/>
            <w:r w:rsidRPr="00B06784">
              <w:t xml:space="preserve">, снизить риски нежелательных реакций. Создание сети </w:t>
            </w:r>
            <w:proofErr w:type="spellStart"/>
            <w:r w:rsidRPr="00B06784">
              <w:t>антикоагулянтных</w:t>
            </w:r>
            <w:proofErr w:type="spellEnd"/>
            <w:r w:rsidRPr="00B06784">
              <w:t xml:space="preserve"> кабинетов доказало высокую эффективность. Наиболее структурированная служба </w:t>
            </w:r>
            <w:proofErr w:type="spellStart"/>
            <w:r w:rsidRPr="00B06784">
              <w:t>антикоагулянтных</w:t>
            </w:r>
            <w:proofErr w:type="spellEnd"/>
            <w:r w:rsidRPr="00B06784">
              <w:t xml:space="preserve"> кабинетов развернута в Курской области. По ситуация на российском рынке продаж в 2018 году антикоагулянтов </w:t>
            </w:r>
            <w:proofErr w:type="spellStart"/>
            <w:r w:rsidRPr="00B06784">
              <w:t>ривароксабан</w:t>
            </w:r>
            <w:proofErr w:type="spellEnd"/>
            <w:r w:rsidRPr="00B06784">
              <w:t xml:space="preserve"> занял лидирующее положение среди НОАК, но учитывая динамику роста продаж </w:t>
            </w:r>
            <w:proofErr w:type="spellStart"/>
            <w:r w:rsidRPr="00B06784">
              <w:t>апиксабана</w:t>
            </w:r>
            <w:proofErr w:type="spellEnd"/>
            <w:r w:rsidRPr="00B06784">
              <w:t>, высока вероятность, что в ближайшие годы этот НОАК выйдет на первое место.</w:t>
            </w:r>
          </w:p>
          <w:p w:rsidR="004233CA" w:rsidRPr="00B06784" w:rsidRDefault="004233CA" w:rsidP="00B06784"/>
        </w:tc>
        <w:tc>
          <w:tcPr>
            <w:tcW w:w="4670" w:type="dxa"/>
          </w:tcPr>
          <w:p w:rsidR="004233CA" w:rsidRPr="00B06784" w:rsidRDefault="004233CA" w:rsidP="00B06784">
            <w:pPr>
              <w:rPr>
                <w:b/>
                <w:bCs/>
                <w:u w:val="single"/>
              </w:rPr>
            </w:pPr>
            <w:r w:rsidRPr="00B06784">
              <w:rPr>
                <w:b/>
                <w:bCs/>
                <w:u w:val="single"/>
              </w:rPr>
              <w:lastRenderedPageBreak/>
              <w:t>Перевод на английский язык</w:t>
            </w:r>
          </w:p>
          <w:p w:rsidR="004233CA" w:rsidRPr="00B06784" w:rsidRDefault="004233CA" w:rsidP="00B06784"/>
          <w:p w:rsidR="004233CA" w:rsidRPr="00B06784" w:rsidRDefault="004233CA" w:rsidP="00B06784"/>
        </w:tc>
      </w:tr>
      <w:bookmarkEnd w:id="0"/>
    </w:tbl>
    <w:p w:rsidR="004233CA" w:rsidRPr="005E18BC" w:rsidRDefault="004233CA"/>
    <w:sectPr w:rsidR="004233CA" w:rsidRPr="005E18BC" w:rsidSect="0040791B">
      <w:headerReference w:type="default" r:id="rId6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E27" w:rsidRDefault="00F65E27" w:rsidP="005E18BC">
      <w:r>
        <w:separator/>
      </w:r>
    </w:p>
  </w:endnote>
  <w:endnote w:type="continuationSeparator" w:id="0">
    <w:p w:rsidR="00F65E27" w:rsidRDefault="00F65E27" w:rsidP="005E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E27" w:rsidRDefault="00F65E27" w:rsidP="005E18BC">
      <w:r>
        <w:separator/>
      </w:r>
    </w:p>
  </w:footnote>
  <w:footnote w:type="continuationSeparator" w:id="0">
    <w:p w:rsidR="00F65E27" w:rsidRDefault="00F65E27" w:rsidP="005E1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6792"/>
    </w:tblGrid>
    <w:tr w:rsidR="00AA0B9D" w:rsidTr="00AA0B9D">
      <w:tc>
        <w:tcPr>
          <w:tcW w:w="2547" w:type="dxa"/>
        </w:tcPr>
        <w:p w:rsidR="00AA0B9D" w:rsidRDefault="00AA0B9D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1403498" cy="1137285"/>
                <wp:effectExtent l="0" t="0" r="6350" b="571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x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20" cy="11664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2" w:type="dxa"/>
        </w:tcPr>
        <w:p w:rsidR="00AA0B9D" w:rsidRDefault="00AA0B9D">
          <w:pPr>
            <w:pStyle w:val="a3"/>
            <w:rPr>
              <w:i/>
              <w:iCs/>
            </w:rPr>
          </w:pPr>
        </w:p>
        <w:p w:rsidR="00AA0B9D" w:rsidRDefault="00AA0B9D">
          <w:pPr>
            <w:pStyle w:val="a3"/>
            <w:rPr>
              <w:i/>
              <w:iCs/>
            </w:rPr>
          </w:pPr>
        </w:p>
        <w:p w:rsidR="00AA0B9D" w:rsidRPr="00AA0B9D" w:rsidRDefault="00AA0B9D">
          <w:pPr>
            <w:pStyle w:val="a3"/>
            <w:rPr>
              <w:i/>
              <w:iCs/>
            </w:rPr>
          </w:pPr>
          <w:r w:rsidRPr="00AA0B9D">
            <w:rPr>
              <w:i/>
              <w:iCs/>
            </w:rPr>
            <w:t>На страже профессионального перевода в области надлежащих практик!</w:t>
          </w:r>
        </w:p>
      </w:tc>
    </w:tr>
  </w:tbl>
  <w:p w:rsidR="005E18BC" w:rsidRDefault="005E18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65"/>
    <w:rsid w:val="00243765"/>
    <w:rsid w:val="0040791B"/>
    <w:rsid w:val="004233CA"/>
    <w:rsid w:val="005E18BC"/>
    <w:rsid w:val="00AA0B9D"/>
    <w:rsid w:val="00B06784"/>
    <w:rsid w:val="00E9004B"/>
    <w:rsid w:val="00F6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7FD5DC"/>
  <w15:chartTrackingRefBased/>
  <w15:docId w15:val="{674426DA-4A99-F540-AC36-78E0BA2A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8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18BC"/>
  </w:style>
  <w:style w:type="paragraph" w:styleId="a5">
    <w:name w:val="footer"/>
    <w:basedOn w:val="a"/>
    <w:link w:val="a6"/>
    <w:uiPriority w:val="99"/>
    <w:unhideWhenUsed/>
    <w:rsid w:val="005E18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18BC"/>
  </w:style>
  <w:style w:type="table" w:styleId="a7">
    <w:name w:val="Table Grid"/>
    <w:basedOn w:val="a1"/>
    <w:uiPriority w:val="39"/>
    <w:rsid w:val="00423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4233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5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Klimova</dc:creator>
  <cp:keywords/>
  <dc:description/>
  <cp:lastModifiedBy>Nataliya Klimova</cp:lastModifiedBy>
  <cp:revision>3</cp:revision>
  <dcterms:created xsi:type="dcterms:W3CDTF">2019-08-13T08:08:00Z</dcterms:created>
  <dcterms:modified xsi:type="dcterms:W3CDTF">2019-08-21T09:35:00Z</dcterms:modified>
</cp:coreProperties>
</file>